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550D" w14:textId="74F5E6D2" w:rsidR="0041757C" w:rsidRDefault="00026200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O BANCO MUNDIAL E A OCDE NA AMÉRICA DO SUL:</w:t>
      </w:r>
      <w:r w:rsidR="00D259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POLÍTICAS</w:t>
      </w:r>
      <w:r w:rsidR="00D259C1">
        <w:rPr>
          <w:rFonts w:ascii="Times New Roman" w:hAnsi="Times New Roman" w:cs="Times New Roman"/>
          <w:b/>
          <w:bCs/>
          <w:sz w:val="24"/>
          <w:szCs w:val="24"/>
        </w:rPr>
        <w:t xml:space="preserve"> PÚBLICAS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LEITURA E ESCRITA</w:t>
      </w:r>
    </w:p>
    <w:p w14:paraId="0A5BA7CC" w14:textId="77777777" w:rsidR="0041757C" w:rsidRDefault="0041757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0E8F0" w14:textId="77777777" w:rsidR="0041757C" w:rsidRDefault="00026200">
      <w:pPr>
        <w:pStyle w:val="Standard"/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Wisllayne Ivellyze de Oliveira-Dri</w:t>
      </w:r>
    </w:p>
    <w:p w14:paraId="794BFFCC" w14:textId="110ABDDA" w:rsidR="0041757C" w:rsidRPr="00D259C1" w:rsidRDefault="00026200" w:rsidP="00D259C1">
      <w:pPr>
        <w:pStyle w:val="Standard"/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Faculdade de Educação - Universidade Estadual de Campinas (UNICAMP); Brasil; </w:t>
      </w:r>
      <w:hyperlink r:id="rId8" w:history="1">
        <w:r>
          <w:rPr>
            <w:rStyle w:val="Internetlink"/>
            <w:rFonts w:ascii="Times New Roman" w:hAnsi="Times New Roman" w:cs="Times New Roman"/>
            <w:sz w:val="24"/>
            <w:szCs w:val="24"/>
          </w:rPr>
          <w:t>wis_pedagogia@yahoo.com.br</w:t>
        </w:r>
      </w:hyperlink>
    </w:p>
    <w:p w14:paraId="73A129D8" w14:textId="77777777" w:rsidR="0041757C" w:rsidRDefault="00026200">
      <w:pPr>
        <w:pStyle w:val="Standard"/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Monica Guerrero Garay</w:t>
      </w:r>
    </w:p>
    <w:p w14:paraId="08CF43AD" w14:textId="77777777" w:rsidR="0041757C" w:rsidRDefault="00026200">
      <w:pPr>
        <w:pStyle w:val="Standard"/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Faculdade de Educação - Universidade Estadual de Campinas (UNICAMP); Brasil; </w:t>
      </w:r>
      <w:hyperlink r:id="rId9" w:history="1">
        <w:r>
          <w:rPr>
            <w:rStyle w:val="Internetlink"/>
            <w:rFonts w:ascii="Times New Roman" w:hAnsi="Times New Roman" w:cs="Times New Roman"/>
            <w:sz w:val="24"/>
            <w:szCs w:val="24"/>
          </w:rPr>
          <w:t>monigaray2009@gmail.com</w:t>
        </w:r>
      </w:hyperlink>
    </w:p>
    <w:p w14:paraId="1263EF3C" w14:textId="77777777" w:rsidR="0041757C" w:rsidRDefault="004175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D8ACB" w14:textId="77777777" w:rsidR="0041757C" w:rsidRDefault="00026200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RESUMO AMPLIADO</w:t>
      </w:r>
    </w:p>
    <w:p w14:paraId="6C78C29B" w14:textId="77777777" w:rsidR="0041757C" w:rsidRDefault="0041757C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FCEA6F2" w14:textId="77777777" w:rsidR="0041757C" w:rsidRDefault="0002620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 ao Problema</w:t>
      </w:r>
    </w:p>
    <w:p w14:paraId="662823EA" w14:textId="5CAF55FA" w:rsidR="002733C3" w:rsidRDefault="00026200" w:rsidP="002733C3">
      <w:pPr>
        <w:pStyle w:val="NormalWeb"/>
        <w:spacing w:before="0" w:after="0" w:line="360" w:lineRule="auto"/>
        <w:ind w:firstLine="708"/>
        <w:jc w:val="both"/>
      </w:pPr>
      <w:r>
        <w:t>Considerando-se o cenário de globalização, enquanto aprofundamento e complexificação das relações econômicas, políticas</w:t>
      </w:r>
      <w:r>
        <w:t xml:space="preserve"> e socioculturais em escala</w:t>
      </w:r>
      <w:r>
        <w:t xml:space="preserve"> planetária, atreladas ao fortalecimento do modo de produção capitalista forjada num contexto de revolução industrial contemporâneo que redimensiona os tempos e </w:t>
      </w:r>
      <w:r w:rsidR="00316EAC">
        <w:t xml:space="preserve">os </w:t>
      </w:r>
      <w:r>
        <w:t>espaços; os desafios socioambientais decorrentes de sua expropriação e degradação; o acirram</w:t>
      </w:r>
      <w:r>
        <w:t xml:space="preserve">ento da exclusão e </w:t>
      </w:r>
      <w:r w:rsidR="00316EAC">
        <w:t xml:space="preserve">o </w:t>
      </w:r>
      <w:r>
        <w:t xml:space="preserve">aumento da pobreza </w:t>
      </w:r>
      <w:r w:rsidR="00316EAC">
        <w:t>no</w:t>
      </w:r>
      <w:r>
        <w:t xml:space="preserve"> período de contingenciamento </w:t>
      </w:r>
      <w:proofErr w:type="spellStart"/>
      <w:r>
        <w:t>pré</w:t>
      </w:r>
      <w:proofErr w:type="spellEnd"/>
      <w:r>
        <w:t xml:space="preserve"> pandemia</w:t>
      </w:r>
      <w:r w:rsidR="00316EAC">
        <w:t xml:space="preserve"> </w:t>
      </w:r>
      <w:r>
        <w:t>e crise pandêmica</w:t>
      </w:r>
      <w:r w:rsidR="00316EAC">
        <w:t xml:space="preserve"> </w:t>
      </w:r>
      <w:r w:rsidR="00316EAC" w:rsidRPr="00316EAC">
        <w:t>da COVID-19 em 2020</w:t>
      </w:r>
      <w:r w:rsidR="00595830">
        <w:t xml:space="preserve"> entre outros. Nesse sentido, </w:t>
      </w:r>
      <w:r>
        <w:t xml:space="preserve">a educação, enquanto política pública e, na perspectiva do direito social, aponta-se como algo </w:t>
      </w:r>
      <w:r>
        <w:t>imprescindível, seja para manutenção ou transformação da realidade socioeconômica circundante (VIERA, 1997).</w:t>
      </w:r>
      <w:r w:rsidR="002733C3">
        <w:t xml:space="preserve"> </w:t>
      </w:r>
      <w:r>
        <w:t>Nesse cenário, a educação torna-se peça-chave para o modelo de globalização neoliberal e os Organismos Internacionais (OI) adquirem forte relevâ</w:t>
      </w:r>
      <w:r>
        <w:t xml:space="preserve">ncia na discussão global sobre as políticas econômicas, sociais e educativas </w:t>
      </w:r>
      <w:r w:rsidR="00316EAC">
        <w:t>n</w:t>
      </w:r>
      <w:r>
        <w:t>os países da América do Sul.</w:t>
      </w:r>
      <w:r w:rsidR="002733C3">
        <w:t xml:space="preserve"> </w:t>
      </w:r>
    </w:p>
    <w:p w14:paraId="7834EB53" w14:textId="606D16C1" w:rsidR="002733C3" w:rsidRDefault="00026200" w:rsidP="002733C3">
      <w:pPr>
        <w:pStyle w:val="NormalWeb"/>
        <w:spacing w:before="0" w:after="0" w:line="360" w:lineRule="auto"/>
        <w:ind w:firstLine="708"/>
        <w:jc w:val="both"/>
      </w:pPr>
      <w:r>
        <w:t xml:space="preserve">Na atualidade, os </w:t>
      </w:r>
      <w:proofErr w:type="spellStart"/>
      <w:r>
        <w:t>OIs</w:t>
      </w:r>
      <w:proofErr w:type="spellEnd"/>
      <w:r>
        <w:t xml:space="preserve"> de maior vínculo e interesse na educação </w:t>
      </w:r>
      <w:r w:rsidR="00316EAC">
        <w:t>e que</w:t>
      </w:r>
      <w:r w:rsidR="001819C6">
        <w:t xml:space="preserve"> </w:t>
      </w:r>
      <w:r w:rsidR="00316EAC">
        <w:t>foram analisados neste estudo são</w:t>
      </w:r>
      <w:r>
        <w:t>: o Banco Mundial (BM); e a Organização para a Cooperação e Desenvolvimento Econômico (OCDE). A responsabilidade que estes organismos, historicamente, têm nos processos de mudança na educação em diferentes nações não é um processo unidirecional</w:t>
      </w:r>
      <w:r>
        <w:t xml:space="preserve">. </w:t>
      </w:r>
      <w:r w:rsidR="00D259C1">
        <w:t>O</w:t>
      </w:r>
      <w:r>
        <w:t xml:space="preserve">s governantes nacionais, intelectuais e técnicos são </w:t>
      </w:r>
      <w:r>
        <w:lastRenderedPageBreak/>
        <w:t>"responsáveis" das consequências e da constituição das política</w:t>
      </w:r>
      <w:r>
        <w:rPr>
          <w:b/>
          <w:bCs/>
        </w:rPr>
        <w:t xml:space="preserve">s </w:t>
      </w:r>
      <w:r>
        <w:t xml:space="preserve">que </w:t>
      </w:r>
      <w:r w:rsidR="00D259C1">
        <w:t xml:space="preserve">os </w:t>
      </w:r>
      <w:proofErr w:type="spellStart"/>
      <w:r w:rsidR="00D259C1">
        <w:t>OIs</w:t>
      </w:r>
      <w:proofErr w:type="spellEnd"/>
      <w:r>
        <w:t xml:space="preserve"> promove</w:t>
      </w:r>
      <w:r w:rsidR="00D259C1">
        <w:t>m</w:t>
      </w:r>
      <w:r>
        <w:t xml:space="preserve"> nos diversos países em desenvolvimento (CORAGGIO, 1995).</w:t>
      </w:r>
    </w:p>
    <w:p w14:paraId="562F916C" w14:textId="77777777" w:rsidR="00B41022" w:rsidRDefault="00B41022" w:rsidP="00B41022">
      <w:pPr>
        <w:pStyle w:val="NormalWeb"/>
        <w:spacing w:before="0" w:after="0" w:line="360" w:lineRule="auto"/>
        <w:ind w:firstLine="708"/>
        <w:jc w:val="both"/>
      </w:pPr>
      <w:r>
        <w:t>Faz-se destaque ainda, à forma pela qual são divulgados os dados de evasão, repetência, distorção idade-série, ineficácia nos diferentes letramentos etc., como se os problemas relacionados às respectivas dimensões pudessem ser resolvidos desconectados de suas causas e condicionantes socioeconômico e estruturais.</w:t>
      </w:r>
    </w:p>
    <w:p w14:paraId="206C399E" w14:textId="21044554" w:rsidR="00120A2B" w:rsidRDefault="00120A2B" w:rsidP="002733C3">
      <w:pPr>
        <w:pStyle w:val="NormalWeb"/>
        <w:spacing w:before="0" w:after="0" w:line="360" w:lineRule="auto"/>
        <w:ind w:firstLine="708"/>
        <w:jc w:val="both"/>
      </w:pPr>
      <w:r w:rsidRPr="00120A2B">
        <w:t xml:space="preserve">Frente aos cenários educacionais, sociais e econômicos dos países da América do Sul, que </w:t>
      </w:r>
      <w:r w:rsidR="002733C3">
        <w:t>pleno</w:t>
      </w:r>
      <w:r w:rsidRPr="00120A2B">
        <w:t xml:space="preserve"> século XXI </w:t>
      </w:r>
      <w:r w:rsidR="002733C3">
        <w:t xml:space="preserve">apresentam </w:t>
      </w:r>
      <w:r w:rsidRPr="00120A2B">
        <w:t xml:space="preserve">alarmantes índices de </w:t>
      </w:r>
      <w:r w:rsidR="002733C3" w:rsidRPr="00120A2B">
        <w:t>analfabetismo, pobreza</w:t>
      </w:r>
      <w:r w:rsidRPr="00120A2B">
        <w:t xml:space="preserve"> e desigualdade; os organismos internacionais como o BM e a OCDE assumem um lugar de referência </w:t>
      </w:r>
      <w:r w:rsidR="002733C3">
        <w:t>n</w:t>
      </w:r>
      <w:r w:rsidRPr="00120A2B">
        <w:t xml:space="preserve">as análises dos problemas educativos </w:t>
      </w:r>
      <w:r w:rsidR="002733C3">
        <w:t>promovendo</w:t>
      </w:r>
      <w:r w:rsidRPr="00120A2B">
        <w:t xml:space="preserve"> reformas educativas e influenciando nas agendas políticas nacionais dos países da </w:t>
      </w:r>
      <w:r w:rsidR="002733C3">
        <w:t>região</w:t>
      </w:r>
      <w:r w:rsidRPr="00120A2B">
        <w:t>. É importante mencionar</w:t>
      </w:r>
      <w:r w:rsidR="00B41022">
        <w:t xml:space="preserve"> que</w:t>
      </w:r>
      <w:r w:rsidRPr="00120A2B">
        <w:t xml:space="preserve"> </w:t>
      </w:r>
      <w:r w:rsidR="002733C3">
        <w:t>o</w:t>
      </w:r>
      <w:r w:rsidRPr="00120A2B">
        <w:t xml:space="preserve"> BM e </w:t>
      </w:r>
      <w:r w:rsidR="002733C3">
        <w:t>a</w:t>
      </w:r>
      <w:r w:rsidRPr="00120A2B">
        <w:t xml:space="preserve"> OCDE como entidades financeiras, têm desempenhado um lugar central na viabilização econômica das políticas públicas </w:t>
      </w:r>
      <w:r w:rsidR="00D259C1">
        <w:t>d</w:t>
      </w:r>
      <w:r w:rsidRPr="00120A2B">
        <w:t>os países da região</w:t>
      </w:r>
      <w:r w:rsidRPr="00595830">
        <w:t>,</w:t>
      </w:r>
      <w:r w:rsidR="00D259C1" w:rsidRPr="00595830">
        <w:t xml:space="preserve"> assim,</w:t>
      </w:r>
      <w:r w:rsidRPr="00120A2B">
        <w:t xml:space="preserve"> os empréstimos milionários concedidos aos países latino-americanos aumentam as dívidas públicas nacionais e </w:t>
      </w:r>
      <w:r w:rsidR="00D259C1" w:rsidRPr="00120A2B">
        <w:t>contribuem para</w:t>
      </w:r>
      <w:r w:rsidRPr="00120A2B">
        <w:t xml:space="preserve"> a valorização do capital financeiro</w:t>
      </w:r>
      <w:r w:rsidR="00D259C1">
        <w:t xml:space="preserve"> </w:t>
      </w:r>
      <w:r w:rsidR="00D259C1" w:rsidRPr="00120A2B">
        <w:t xml:space="preserve">e </w:t>
      </w:r>
      <w:r w:rsidR="006549D8" w:rsidRPr="00120A2B">
        <w:t>a ampliação</w:t>
      </w:r>
      <w:r w:rsidR="00D259C1" w:rsidRPr="00120A2B">
        <w:t xml:space="preserve"> </w:t>
      </w:r>
      <w:r w:rsidR="00D259C1">
        <w:t>das</w:t>
      </w:r>
      <w:r w:rsidR="00D259C1" w:rsidRPr="00120A2B">
        <w:t xml:space="preserve"> consultorias privadas e equipes técnicas</w:t>
      </w:r>
      <w:r w:rsidRPr="00120A2B">
        <w:t xml:space="preserve"> dos OI.</w:t>
      </w:r>
    </w:p>
    <w:p w14:paraId="240D4DFE" w14:textId="75D0B4E0" w:rsidR="0041757C" w:rsidRDefault="00595830" w:rsidP="00120A2B">
      <w:pPr>
        <w:pStyle w:val="NormalWeb"/>
        <w:spacing w:before="0" w:after="0" w:line="360" w:lineRule="auto"/>
        <w:ind w:firstLine="708"/>
        <w:jc w:val="both"/>
      </w:pPr>
      <w:r>
        <w:t>Nesse contexto</w:t>
      </w:r>
      <w:r w:rsidR="00026200">
        <w:t xml:space="preserve">, este trabalho </w:t>
      </w:r>
      <w:r w:rsidR="00120A2B">
        <w:t xml:space="preserve">tem como objetivo </w:t>
      </w:r>
      <w:r w:rsidR="00026200">
        <w:t xml:space="preserve">identificar algumas orientações do BM e da OCDE </w:t>
      </w:r>
      <w:r w:rsidR="00120A2B">
        <w:t xml:space="preserve">nos países da América do Sul </w:t>
      </w:r>
      <w:r w:rsidR="00026200">
        <w:t xml:space="preserve">com relação às políticas de leitura e escrita nos últimos 10 anos. </w:t>
      </w:r>
      <w:r w:rsidR="00026200">
        <w:t xml:space="preserve">Para tanto, </w:t>
      </w:r>
      <w:r w:rsidR="00120A2B">
        <w:t>realizou-se uma análise documental</w:t>
      </w:r>
      <w:r w:rsidR="00026200">
        <w:t>, destacando as coincidências e</w:t>
      </w:r>
      <w:r w:rsidR="00026200">
        <w:t xml:space="preserve"> as diferenças </w:t>
      </w:r>
      <w:r w:rsidR="00120A2B">
        <w:t xml:space="preserve">encontradas nos documentos estudados e algumas influências de tais documentos </w:t>
      </w:r>
      <w:r w:rsidR="009B0BCC">
        <w:t>n</w:t>
      </w:r>
      <w:r w:rsidR="00120A2B">
        <w:t xml:space="preserve">a região. </w:t>
      </w:r>
      <w:r w:rsidR="00026200">
        <w:t xml:space="preserve">Os documentos </w:t>
      </w:r>
      <w:r w:rsidR="00120A2B">
        <w:t>estudados</w:t>
      </w:r>
      <w:r w:rsidR="00026200">
        <w:t xml:space="preserve"> foram: 1) BM: ACABAR COM A POBREZA DE APRENDIZAGEM: O que é </w:t>
      </w:r>
      <w:proofErr w:type="gramStart"/>
      <w:r w:rsidR="00026200">
        <w:t>preciso?</w:t>
      </w:r>
      <w:r w:rsidR="009B0BCC">
        <w:t>,</w:t>
      </w:r>
      <w:proofErr w:type="gramEnd"/>
      <w:r w:rsidR="00026200">
        <w:t xml:space="preserve"> publicado em 2019; 2) OCDE: “Leitores do século 21: DESENV</w:t>
      </w:r>
      <w:r w:rsidR="00026200">
        <w:t>OLVENDO COMPETÊNCIAS DE LEITURA EM UM MUNDO DIGITAL”</w:t>
      </w:r>
      <w:r w:rsidR="009B0BCC">
        <w:t>,</w:t>
      </w:r>
      <w:r w:rsidR="00026200">
        <w:t xml:space="preserve"> publicado em 2021.</w:t>
      </w:r>
    </w:p>
    <w:p w14:paraId="2D75D374" w14:textId="13E7BD7C" w:rsidR="0041757C" w:rsidRDefault="00026200">
      <w:pPr>
        <w:pStyle w:val="NormalWeb"/>
        <w:spacing w:before="0" w:after="0" w:line="360" w:lineRule="auto"/>
        <w:ind w:firstLine="708"/>
        <w:jc w:val="both"/>
      </w:pPr>
      <w:r>
        <w:t>O desenvolvimento deste estudo se justifica diante dos contextos educacionais dos países da América Sul, que apresentam situações preocupantes com relação à leitura e à escrita</w:t>
      </w:r>
      <w:r w:rsidR="004D3CC0">
        <w:t>, visto que, s</w:t>
      </w:r>
      <w:r w:rsidR="004D3CC0" w:rsidRPr="004D3CC0">
        <w:t>egundo a base de dados do Instituto de Estatística da Unesco</w:t>
      </w:r>
      <w:r w:rsidR="00E914E4">
        <w:rPr>
          <w:rStyle w:val="Refdenotaderodap"/>
        </w:rPr>
        <w:footnoteReference w:id="1"/>
      </w:r>
      <w:r w:rsidR="004D3CC0" w:rsidRPr="004D3CC0">
        <w:t>, aproximadamente 9% da população da América Latina é analfabeta</w:t>
      </w:r>
      <w:r>
        <w:t>. O analfabetismo total e funcional</w:t>
      </w:r>
      <w:r>
        <w:rPr>
          <w:rStyle w:val="Refdenotaderodap"/>
        </w:rPr>
        <w:footnoteReference w:id="2"/>
      </w:r>
      <w:r w:rsidR="00E914E4">
        <w:t>,</w:t>
      </w:r>
      <w:r>
        <w:t xml:space="preserve"> ainda determina o futuro de grande parte da população desses países, </w:t>
      </w:r>
      <w:r>
        <w:lastRenderedPageBreak/>
        <w:t>aspectos que sã</w:t>
      </w:r>
      <w:r>
        <w:t>o representados nos índices de avaliação dados pelas provas internacionais</w:t>
      </w:r>
      <w:r w:rsidR="00E914E4">
        <w:t xml:space="preserve">, </w:t>
      </w:r>
      <w:r>
        <w:t>como o Programa Internacional de Avaliação de Alunos (PISA) organizado pela própria OCDE</w:t>
      </w:r>
      <w:r w:rsidR="00E914E4">
        <w:t>, e também nas políticas públicas implementadas pelos países da regi</w:t>
      </w:r>
      <w:r w:rsidR="006307DA">
        <w:t>ão</w:t>
      </w:r>
      <w:r w:rsidR="00E914E4">
        <w:t xml:space="preserve"> que destacam ações que buscam promover a leitura e a escrita</w:t>
      </w:r>
      <w:r>
        <w:t>.</w:t>
      </w:r>
    </w:p>
    <w:p w14:paraId="1C3DE7BD" w14:textId="77777777" w:rsidR="0041757C" w:rsidRDefault="0041757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F010A6" w14:textId="77777777" w:rsidR="0041757C" w:rsidRDefault="0002620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Desenvolvimento</w:t>
      </w:r>
    </w:p>
    <w:p w14:paraId="2705A761" w14:textId="1C121E54" w:rsidR="0041757C" w:rsidRDefault="00026200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Em 2019, um ano antes da devastadora pandemia da COVID 19, o </w:t>
      </w:r>
      <w:r w:rsidRPr="00AF35AB">
        <w:rPr>
          <w:rFonts w:ascii="Times New Roman" w:hAnsi="Times New Roman" w:cs="Times New Roman"/>
          <w:b/>
          <w:bCs/>
          <w:sz w:val="24"/>
          <w:szCs w:val="24"/>
        </w:rPr>
        <w:t>BM</w:t>
      </w:r>
      <w:r>
        <w:rPr>
          <w:rFonts w:ascii="Times New Roman" w:hAnsi="Times New Roman" w:cs="Times New Roman"/>
          <w:sz w:val="24"/>
          <w:szCs w:val="24"/>
        </w:rPr>
        <w:t xml:space="preserve"> incorpora </w:t>
      </w:r>
      <w:r>
        <w:rPr>
          <w:rFonts w:ascii="Times New Roman" w:hAnsi="Times New Roman" w:cs="Times New Roman"/>
          <w:sz w:val="24"/>
          <w:szCs w:val="24"/>
        </w:rPr>
        <w:t>em seus documentos e seus informes um novo conceito</w:t>
      </w:r>
      <w:r w:rsidR="009B0B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 de “pobreza de aprendizagem”</w:t>
      </w:r>
      <w:r w:rsidR="009B0B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estabelecido com base em dados coletados com o Instituto de Estatística da Organização das Nações Unidas para a Educação, a Ciência e a Cultura (UNESCO). As estatísticas apontam que 53% das crianças com dez anos de idade, de renda baixa e em situação vuln</w:t>
      </w:r>
      <w:r>
        <w:rPr>
          <w:rFonts w:ascii="Times New Roman" w:hAnsi="Times New Roman" w:cs="Times New Roman"/>
          <w:sz w:val="24"/>
          <w:szCs w:val="24"/>
        </w:rPr>
        <w:t xml:space="preserve">erável, apresentam dificuldades para ler e compreender textos curtos. Este número aumenta nos países de extrema pobreza, </w:t>
      </w:r>
      <w:r w:rsidR="00AF35AB">
        <w:rPr>
          <w:rFonts w:ascii="Times New Roman" w:hAnsi="Times New Roman" w:cs="Times New Roman"/>
          <w:sz w:val="24"/>
          <w:szCs w:val="24"/>
        </w:rPr>
        <w:t>nos quais</w:t>
      </w:r>
      <w:r>
        <w:rPr>
          <w:rFonts w:ascii="Times New Roman" w:hAnsi="Times New Roman" w:cs="Times New Roman"/>
          <w:sz w:val="24"/>
          <w:szCs w:val="24"/>
        </w:rPr>
        <w:t xml:space="preserve"> 80% das crianças são atingidas pela tal denominada pobreza de aprendizagem (BM, 2019). Nesse mesmo ano e com os objetivos já </w:t>
      </w:r>
      <w:r>
        <w:rPr>
          <w:rFonts w:ascii="Times New Roman" w:hAnsi="Times New Roman" w:cs="Times New Roman"/>
          <w:sz w:val="24"/>
          <w:szCs w:val="24"/>
        </w:rPr>
        <w:t>estabelecidos no plano de desenvolvimento sustentável 2030, o BM direciona uma nova meta no objetivo 4: respeito à educação e especificamente à redução da pobreza de aprendizagem centrando a atenção nos processos de leitura e alfabetização das crianças. No</w:t>
      </w:r>
      <w:r>
        <w:rPr>
          <w:rFonts w:ascii="Times New Roman" w:hAnsi="Times New Roman" w:cs="Times New Roman"/>
          <w:sz w:val="24"/>
          <w:szCs w:val="24"/>
        </w:rPr>
        <w:t xml:space="preserve"> documento guia elaborado pelo BM “ACABAR COM A POBREZA DE APRENDIZAGEM: O que é preciso?” observam-se orientações aos países para que estes alcancem esta meta a partir de quatro eixos fundamentais:</w:t>
      </w:r>
    </w:p>
    <w:p w14:paraId="1EF30683" w14:textId="77777777" w:rsidR="0041757C" w:rsidRDefault="00026200">
      <w:pPr>
        <w:pStyle w:val="PargrafodaLista"/>
        <w:numPr>
          <w:ilvl w:val="0"/>
          <w:numId w:val="4"/>
        </w:numPr>
        <w:spacing w:line="360" w:lineRule="auto"/>
        <w:jc w:val="both"/>
      </w:pPr>
      <w:r>
        <w:t>A criação de múltiplas políticas de alfabetização que int</w:t>
      </w:r>
      <w:r>
        <w:t>erfiram no nível nacional, de maneira eficaz e eficiente, na promoção da competência leitora nos estudantes;</w:t>
      </w:r>
    </w:p>
    <w:p w14:paraId="6C4D93FF" w14:textId="403758F4" w:rsidR="0041757C" w:rsidRDefault="00026200">
      <w:pPr>
        <w:pStyle w:val="PargrafodaLista"/>
        <w:numPr>
          <w:ilvl w:val="0"/>
          <w:numId w:val="3"/>
        </w:numPr>
        <w:spacing w:line="360" w:lineRule="auto"/>
        <w:jc w:val="both"/>
      </w:pPr>
      <w:r>
        <w:rPr>
          <w:shd w:val="clear" w:color="auto" w:fill="FFFFFF"/>
          <w:lang w:val="pt-BR"/>
        </w:rPr>
        <w:t xml:space="preserve">Renovação da educação </w:t>
      </w:r>
      <w:r w:rsidR="00887555">
        <w:rPr>
          <w:shd w:val="clear" w:color="auto" w:fill="FFFFFF"/>
          <w:lang w:val="pt-BR"/>
        </w:rPr>
        <w:t>fortalecendo os</w:t>
      </w:r>
      <w:r>
        <w:rPr>
          <w:shd w:val="clear" w:color="auto" w:fill="FFFFFF"/>
          <w:lang w:val="pt-BR"/>
        </w:rPr>
        <w:t xml:space="preserve"> sistemas educacionais</w:t>
      </w:r>
      <w:r w:rsidR="00887555">
        <w:rPr>
          <w:shd w:val="clear" w:color="auto" w:fill="FFFFFF"/>
          <w:lang w:val="pt-BR"/>
        </w:rPr>
        <w:t xml:space="preserve"> </w:t>
      </w:r>
      <w:r>
        <w:rPr>
          <w:shd w:val="clear" w:color="auto" w:fill="FFFFFF"/>
          <w:lang w:val="pt-BR"/>
        </w:rPr>
        <w:t xml:space="preserve">nos processos de alfabetização </w:t>
      </w:r>
      <w:r w:rsidR="00AF35AB">
        <w:rPr>
          <w:shd w:val="clear" w:color="auto" w:fill="FFFFFF"/>
          <w:lang w:val="pt-BR"/>
        </w:rPr>
        <w:t xml:space="preserve">e que estes </w:t>
      </w:r>
      <w:r>
        <w:rPr>
          <w:shd w:val="clear" w:color="auto" w:fill="FFFFFF"/>
          <w:lang w:val="pt-BR"/>
        </w:rPr>
        <w:t>possam ser sustentados e ampliados;</w:t>
      </w:r>
    </w:p>
    <w:p w14:paraId="7733979E" w14:textId="77777777" w:rsidR="0041757C" w:rsidRDefault="00026200">
      <w:pPr>
        <w:pStyle w:val="PargrafodaLista"/>
        <w:numPr>
          <w:ilvl w:val="0"/>
          <w:numId w:val="3"/>
        </w:numPr>
        <w:spacing w:line="360" w:lineRule="auto"/>
        <w:jc w:val="both"/>
      </w:pPr>
      <w:r>
        <w:rPr>
          <w:shd w:val="clear" w:color="auto" w:fill="FFFFFF"/>
          <w:lang w:val="pt-BR"/>
        </w:rPr>
        <w:t>Programa</w:t>
      </w:r>
      <w:r>
        <w:rPr>
          <w:shd w:val="clear" w:color="auto" w:fill="FFFFFF"/>
          <w:lang w:val="pt-BR"/>
        </w:rPr>
        <w:t xml:space="preserve"> de avaliação que inclui os resultados da aprendizagem, como pesquisas orientadas ao uso de novas tecnologias que permitam o desenvolvimento de habilidades básicas.</w:t>
      </w:r>
    </w:p>
    <w:p w14:paraId="4C7A427D" w14:textId="77D401B9" w:rsidR="0041757C" w:rsidRDefault="001819C6" w:rsidP="00F32B28">
      <w:pPr>
        <w:pStyle w:val="Standard"/>
        <w:spacing w:after="0" w:line="360" w:lineRule="auto"/>
        <w:ind w:firstLine="360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documento “</w:t>
      </w:r>
      <w:r>
        <w:rPr>
          <w:rFonts w:ascii="Times New Roman" w:hAnsi="Times New Roman" w:cs="Times New Roman"/>
          <w:sz w:val="24"/>
          <w:szCs w:val="24"/>
        </w:rPr>
        <w:t>Leitores do século 21: DESENVOLVENDO COMPETÊNCIAS DE LEITURA EM UM MUNDO DIGITAL”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r w:rsidRPr="00E914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OCDE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(2021) promove orientações sobre os processos de alfabetização, leitura e escrita com base nos países participantes</w:t>
      </w:r>
      <w:r w:rsidR="00AF3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PISA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Também, encontram-se comparações entre o PISA aplicado em 2009 e o aplicado em 2018, além de prescrever orientações contundentes sobre o lugar da tecnologia e das ferramentas digitais nos processos de alfabetização e leitura.  Sendo assim, o relatório centra-se na análise de políticas e práticas que possam potencializar os ambientes digitais como forma de aprendizagem. A</w:t>
      </w:r>
      <w:r w:rsidR="00595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leitura aparece de forma relevante ganhando destaque no PISA de 2018</w:t>
      </w:r>
      <w:r w:rsidR="00887555">
        <w:rPr>
          <w:rFonts w:ascii="Times New Roman" w:hAnsi="Times New Roman" w:cs="Times New Roman"/>
          <w:sz w:val="24"/>
          <w:szCs w:val="24"/>
          <w:shd w:val="clear" w:color="auto" w:fill="FFFFFF"/>
        </w:rPr>
        <w:t>.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lém das </w:t>
      </w:r>
      <w:r w:rsidRPr="00595830">
        <w:rPr>
          <w:rFonts w:ascii="Times New Roman" w:hAnsi="Times New Roman" w:cs="Times New Roman"/>
          <w:sz w:val="24"/>
          <w:szCs w:val="24"/>
          <w:shd w:val="clear" w:color="auto" w:fill="FFFFFF"/>
        </w:rPr>
        <w:t>questões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alfabetização, leitura e competências, já conhecidas </w:t>
      </w:r>
      <w:r w:rsidR="00887555">
        <w:rPr>
          <w:rFonts w:ascii="Times New Roman" w:hAnsi="Times New Roman" w:cs="Times New Roman"/>
          <w:sz w:val="24"/>
          <w:szCs w:val="24"/>
          <w:shd w:val="clear" w:color="auto" w:fill="FFFFFF"/>
        </w:rPr>
        <w:t>nos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relatórios PISA</w:t>
      </w:r>
      <w:r w:rsidR="00F32B28">
        <w:rPr>
          <w:rFonts w:ascii="Times New Roman" w:hAnsi="Times New Roman" w:cs="Times New Roman"/>
          <w:sz w:val="24"/>
          <w:szCs w:val="24"/>
          <w:shd w:val="clear" w:color="auto" w:fill="FFFFFF"/>
        </w:rPr>
        <w:t>, 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bserva-se no último capítulo</w:t>
      </w:r>
      <w:r w:rsidR="005958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relacionad</w:t>
      </w:r>
      <w:r w:rsidR="00595830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com a mediação do professor e como este pode motivar e gerar prazer pela leitura. </w:t>
      </w:r>
      <w:r w:rsidR="00887555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estac</w:t>
      </w:r>
      <w:r w:rsidR="009B0BCC">
        <w:rPr>
          <w:rFonts w:ascii="Times New Roman" w:hAnsi="Times New Roman" w:cs="Times New Roman"/>
          <w:sz w:val="24"/>
          <w:szCs w:val="24"/>
          <w:shd w:val="clear" w:color="auto" w:fill="FFFFFF"/>
        </w:rPr>
        <w:t>aram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-se os seguintes </w:t>
      </w:r>
      <w:r w:rsidR="00595830">
        <w:rPr>
          <w:rFonts w:ascii="Times New Roman" w:hAnsi="Times New Roman" w:cs="Times New Roman"/>
          <w:sz w:val="24"/>
          <w:szCs w:val="24"/>
          <w:shd w:val="clear" w:color="auto" w:fill="FFFFFF"/>
        </w:rPr>
        <w:t>pontos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relatório estudado:</w:t>
      </w:r>
    </w:p>
    <w:p w14:paraId="09559805" w14:textId="77777777" w:rsidR="0041757C" w:rsidRDefault="00026200">
      <w:pPr>
        <w:pStyle w:val="Standard"/>
        <w:numPr>
          <w:ilvl w:val="0"/>
          <w:numId w:val="5"/>
        </w:numPr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manutenção do enfoque tr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adicional do PISA (alfabetização, leitura e competências);</w:t>
      </w:r>
    </w:p>
    <w:p w14:paraId="33B5ACCB" w14:textId="77777777" w:rsidR="0041757C" w:rsidRDefault="00026200">
      <w:pPr>
        <w:pStyle w:val="Standard"/>
        <w:numPr>
          <w:ilvl w:val="0"/>
          <w:numId w:val="6"/>
        </w:numPr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valorização das tecnologias no ambiente escolar;</w:t>
      </w:r>
    </w:p>
    <w:p w14:paraId="5BB2AB54" w14:textId="77777777" w:rsidR="0041757C" w:rsidRDefault="00026200">
      <w:pPr>
        <w:pStyle w:val="Standard"/>
        <w:numPr>
          <w:ilvl w:val="0"/>
          <w:numId w:val="2"/>
        </w:numPr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ambiente digital como forma de melhorar os processos de aprendizagem escolares;</w:t>
      </w:r>
    </w:p>
    <w:p w14:paraId="45FCF542" w14:textId="77777777" w:rsidR="006307DA" w:rsidRDefault="00026200" w:rsidP="006307DA">
      <w:pPr>
        <w:pStyle w:val="Standard"/>
        <w:numPr>
          <w:ilvl w:val="0"/>
          <w:numId w:val="2"/>
        </w:numPr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 como mediador e motivador dos processos 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leitura</w:t>
      </w:r>
      <w:r w:rsidR="006307D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B53701F" w14:textId="1B1F0AF1" w:rsidR="0041757C" w:rsidRDefault="006307DA" w:rsidP="00D259C1">
      <w:pPr>
        <w:pStyle w:val="Standard"/>
        <w:spacing w:after="0" w:line="360" w:lineRule="auto"/>
        <w:ind w:firstLine="708"/>
        <w:jc w:val="both"/>
      </w:pPr>
      <w:r w:rsidRPr="006307DA">
        <w:rPr>
          <w:rFonts w:ascii="Times New Roman" w:eastAsia="Times New Roman" w:hAnsi="Times New Roman" w:cs="Times New Roman"/>
          <w:sz w:val="24"/>
          <w:szCs w:val="24"/>
        </w:rPr>
        <w:t>Na América do Sul, as políticas de leitura e escrita são temas presentes tanto nos planos nacionais de educação, como nos planos específicos de leitura e escrita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r w:rsidRPr="006307DA">
        <w:rPr>
          <w:rFonts w:ascii="Times New Roman" w:eastAsia="Times New Roman" w:hAnsi="Times New Roman" w:cs="Times New Roman"/>
          <w:sz w:val="24"/>
          <w:szCs w:val="24"/>
        </w:rPr>
        <w:t>ações e programas que buscam melhorar o domínio da leitura e escrita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630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promover a</w:t>
      </w:r>
      <w:r w:rsidRPr="006307DA">
        <w:rPr>
          <w:rFonts w:ascii="Times New Roman" w:eastAsia="Times New Roman" w:hAnsi="Times New Roman" w:cs="Times New Roman"/>
          <w:sz w:val="24"/>
          <w:szCs w:val="24"/>
        </w:rPr>
        <w:t xml:space="preserve"> democratização do acesso da leitura</w:t>
      </w:r>
      <w:r w:rsidR="001819C6">
        <w:rPr>
          <w:rFonts w:ascii="Times New Roman" w:eastAsia="Times New Roman" w:hAnsi="Times New Roman" w:cs="Times New Roman"/>
          <w:sz w:val="24"/>
          <w:szCs w:val="24"/>
        </w:rPr>
        <w:t>. Ainda que primordiais</w:t>
      </w:r>
      <w:r w:rsidRPr="00A30220">
        <w:rPr>
          <w:rFonts w:ascii="Times New Roman" w:eastAsia="Times New Roman" w:hAnsi="Times New Roman" w:cs="Times New Roman"/>
          <w:sz w:val="24"/>
          <w:szCs w:val="24"/>
        </w:rPr>
        <w:t>, muitas vezes, têm sido pressionadas pelos</w:t>
      </w:r>
      <w:r w:rsidR="0088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220">
        <w:rPr>
          <w:rFonts w:ascii="Times New Roman" w:eastAsia="Times New Roman" w:hAnsi="Times New Roman" w:cs="Times New Roman"/>
          <w:i/>
          <w:iCs/>
          <w:sz w:val="24"/>
          <w:szCs w:val="24"/>
        </w:rPr>
        <w:t>rankings</w:t>
      </w:r>
      <w:r w:rsidRPr="00A30220">
        <w:rPr>
          <w:rFonts w:ascii="Times New Roman" w:eastAsia="Times New Roman" w:hAnsi="Times New Roman" w:cs="Times New Roman"/>
          <w:sz w:val="24"/>
          <w:szCs w:val="24"/>
        </w:rPr>
        <w:t xml:space="preserve"> de avaliações internacionais como o PISA, que apesar de se constituir em uma referência </w:t>
      </w:r>
      <w:r w:rsidR="00887555">
        <w:rPr>
          <w:rFonts w:ascii="Times New Roman" w:eastAsia="Times New Roman" w:hAnsi="Times New Roman" w:cs="Times New Roman"/>
          <w:sz w:val="24"/>
          <w:szCs w:val="24"/>
        </w:rPr>
        <w:t>mundial</w:t>
      </w:r>
      <w:r w:rsidRPr="00A302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19C6">
        <w:rPr>
          <w:rFonts w:ascii="Times New Roman" w:eastAsia="Times New Roman" w:hAnsi="Times New Roman" w:cs="Times New Roman"/>
          <w:sz w:val="24"/>
          <w:szCs w:val="24"/>
        </w:rPr>
        <w:t>são</w:t>
      </w:r>
      <w:r w:rsidRPr="00A30220">
        <w:rPr>
          <w:rFonts w:ascii="Times New Roman" w:eastAsia="Times New Roman" w:hAnsi="Times New Roman" w:cs="Times New Roman"/>
          <w:sz w:val="24"/>
          <w:szCs w:val="24"/>
        </w:rPr>
        <w:t xml:space="preserve"> insuficientes e descontextualizad</w:t>
      </w:r>
      <w:r w:rsidR="001819C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30220">
        <w:rPr>
          <w:rFonts w:ascii="Times New Roman" w:eastAsia="Times New Roman" w:hAnsi="Times New Roman" w:cs="Times New Roman"/>
          <w:sz w:val="24"/>
          <w:szCs w:val="24"/>
        </w:rPr>
        <w:t xml:space="preserve">s da realidade </w:t>
      </w:r>
      <w:r w:rsidR="001819C6">
        <w:rPr>
          <w:rFonts w:ascii="Times New Roman" w:eastAsia="Times New Roman" w:hAnsi="Times New Roman" w:cs="Times New Roman"/>
          <w:sz w:val="24"/>
          <w:szCs w:val="24"/>
        </w:rPr>
        <w:t>da região.</w:t>
      </w:r>
    </w:p>
    <w:p w14:paraId="10F36F82" w14:textId="77777777" w:rsidR="00D259C1" w:rsidRPr="00D259C1" w:rsidRDefault="00D259C1" w:rsidP="00D259C1">
      <w:pPr>
        <w:pStyle w:val="Standard"/>
        <w:spacing w:after="0" w:line="360" w:lineRule="auto"/>
        <w:ind w:firstLine="708"/>
        <w:jc w:val="both"/>
      </w:pPr>
    </w:p>
    <w:p w14:paraId="0B012750" w14:textId="77777777" w:rsidR="0041757C" w:rsidRDefault="0002620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Conclusões</w:t>
      </w:r>
    </w:p>
    <w:p w14:paraId="3353B5A9" w14:textId="1B531091" w:rsidR="0041757C" w:rsidRDefault="00BC6B07" w:rsidP="001819C6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Foram encontradas</w:t>
      </w:r>
      <w:r w:rsidR="006549D8">
        <w:rPr>
          <w:rFonts w:ascii="Times New Roman" w:hAnsi="Times New Roman" w:cs="Times New Roman"/>
          <w:sz w:val="24"/>
          <w:szCs w:val="24"/>
        </w:rPr>
        <w:t xml:space="preserve"> intersecções entre os documentos estudados</w:t>
      </w:r>
      <w:r w:rsidR="00E63CB4">
        <w:rPr>
          <w:rFonts w:ascii="Times New Roman" w:hAnsi="Times New Roman" w:cs="Times New Roman"/>
          <w:sz w:val="24"/>
          <w:szCs w:val="24"/>
        </w:rPr>
        <w:t xml:space="preserve">, visto que, promovem orientações e diretrizes na busca de </w:t>
      </w:r>
      <w:r w:rsidR="006549D8">
        <w:rPr>
          <w:rFonts w:ascii="Times New Roman" w:hAnsi="Times New Roman" w:cs="Times New Roman"/>
          <w:sz w:val="24"/>
          <w:szCs w:val="24"/>
        </w:rPr>
        <w:t xml:space="preserve">contribuir </w:t>
      </w:r>
      <w:r w:rsidR="00E63CB4">
        <w:rPr>
          <w:rFonts w:ascii="Times New Roman" w:hAnsi="Times New Roman" w:cs="Times New Roman"/>
          <w:sz w:val="24"/>
          <w:szCs w:val="24"/>
        </w:rPr>
        <w:t xml:space="preserve">com a </w:t>
      </w:r>
      <w:r w:rsidR="006549D8">
        <w:rPr>
          <w:rFonts w:ascii="Times New Roman" w:hAnsi="Times New Roman" w:cs="Times New Roman"/>
          <w:sz w:val="24"/>
          <w:szCs w:val="24"/>
        </w:rPr>
        <w:t>diminuição do analfabetismo total e funcional</w:t>
      </w:r>
      <w:r w:rsidR="00E63CB4">
        <w:rPr>
          <w:rFonts w:ascii="Times New Roman" w:hAnsi="Times New Roman" w:cs="Times New Roman"/>
          <w:sz w:val="24"/>
          <w:szCs w:val="24"/>
        </w:rPr>
        <w:t xml:space="preserve"> nos países</w:t>
      </w:r>
      <w:r w:rsidR="003263FE">
        <w:rPr>
          <w:rFonts w:ascii="Times New Roman" w:hAnsi="Times New Roman" w:cs="Times New Roman"/>
          <w:sz w:val="24"/>
          <w:szCs w:val="24"/>
        </w:rPr>
        <w:t xml:space="preserve"> da</w:t>
      </w:r>
      <w:r w:rsidR="00E63CB4">
        <w:rPr>
          <w:rFonts w:ascii="Times New Roman" w:hAnsi="Times New Roman" w:cs="Times New Roman"/>
          <w:sz w:val="24"/>
          <w:szCs w:val="24"/>
        </w:rPr>
        <w:t xml:space="preserve"> região sul da América Latina. </w:t>
      </w:r>
      <w:r w:rsidR="003263FE">
        <w:rPr>
          <w:rFonts w:ascii="Times New Roman" w:hAnsi="Times New Roman" w:cs="Times New Roman"/>
          <w:sz w:val="24"/>
          <w:szCs w:val="24"/>
        </w:rPr>
        <w:t xml:space="preserve">Os documentos analisados, também, dialogam com a necessidade da valorização da tecnologia no ambiente escolar aliada aos processos de ensino e aprendizagem. </w:t>
      </w:r>
      <w:r w:rsidR="00E914E4">
        <w:rPr>
          <w:rFonts w:ascii="Times New Roman" w:hAnsi="Times New Roman" w:cs="Times New Roman"/>
          <w:sz w:val="24"/>
          <w:szCs w:val="24"/>
        </w:rPr>
        <w:t>Ademais, i</w:t>
      </w:r>
      <w:r w:rsidR="006549D8">
        <w:rPr>
          <w:rFonts w:ascii="Times New Roman" w:hAnsi="Times New Roman" w:cs="Times New Roman"/>
          <w:sz w:val="24"/>
          <w:szCs w:val="24"/>
        </w:rPr>
        <w:t xml:space="preserve">dentificou-se que tais políticas vão ao encontro dos conteúdos cobrados no PISA, pois destacam os processos de </w:t>
      </w:r>
      <w:r w:rsidR="006549D8">
        <w:rPr>
          <w:rFonts w:ascii="Times New Roman" w:hAnsi="Times New Roman" w:cs="Times New Roman"/>
          <w:sz w:val="24"/>
          <w:szCs w:val="24"/>
          <w:shd w:val="clear" w:color="auto" w:fill="FFFFFF"/>
        </w:rPr>
        <w:t>alfabetização,</w:t>
      </w:r>
      <w:r w:rsidR="00E63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="00654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leitura e </w:t>
      </w:r>
      <w:r w:rsidR="00E63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06549D8">
        <w:rPr>
          <w:rFonts w:ascii="Times New Roman" w:hAnsi="Times New Roman" w:cs="Times New Roman"/>
          <w:sz w:val="24"/>
          <w:szCs w:val="24"/>
          <w:shd w:val="clear" w:color="auto" w:fill="FFFFFF"/>
        </w:rPr>
        <w:t>competências</w:t>
      </w:r>
      <w:r w:rsidR="00E63C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</w:t>
      </w:r>
      <w:r w:rsidR="00326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resultados de </w:t>
      </w:r>
      <w:r w:rsidR="00E63CB4">
        <w:rPr>
          <w:rFonts w:ascii="Times New Roman" w:hAnsi="Times New Roman" w:cs="Times New Roman"/>
          <w:sz w:val="24"/>
          <w:szCs w:val="24"/>
          <w:shd w:val="clear" w:color="auto" w:fill="FFFFFF"/>
        </w:rPr>
        <w:t>aprendizagem</w:t>
      </w:r>
      <w:r w:rsidR="006549D8">
        <w:rPr>
          <w:rFonts w:ascii="Times New Roman" w:hAnsi="Times New Roman" w:cs="Times New Roman"/>
          <w:sz w:val="24"/>
          <w:szCs w:val="24"/>
        </w:rPr>
        <w:t xml:space="preserve">. Portanto, os países da </w:t>
      </w:r>
      <w:r w:rsidR="00E63CB4">
        <w:rPr>
          <w:rFonts w:ascii="Times New Roman" w:hAnsi="Times New Roman" w:cs="Times New Roman"/>
          <w:sz w:val="24"/>
          <w:szCs w:val="24"/>
        </w:rPr>
        <w:t>América do Sul</w:t>
      </w:r>
      <w:r w:rsidR="006549D8">
        <w:rPr>
          <w:rFonts w:ascii="Times New Roman" w:hAnsi="Times New Roman" w:cs="Times New Roman"/>
          <w:sz w:val="24"/>
          <w:szCs w:val="24"/>
        </w:rPr>
        <w:t xml:space="preserve"> contam com ações na área da leitura e escrita e que podem ser </w:t>
      </w:r>
      <w:r w:rsidR="003263FE">
        <w:rPr>
          <w:rFonts w:ascii="Times New Roman" w:hAnsi="Times New Roman" w:cs="Times New Roman"/>
          <w:sz w:val="24"/>
          <w:szCs w:val="24"/>
        </w:rPr>
        <w:t>vistas nos planos nacionais de educação</w:t>
      </w:r>
      <w:r w:rsidR="006307DA">
        <w:rPr>
          <w:rFonts w:ascii="Times New Roman" w:hAnsi="Times New Roman" w:cs="Times New Roman"/>
          <w:sz w:val="24"/>
          <w:szCs w:val="24"/>
        </w:rPr>
        <w:t xml:space="preserve"> e nos </w:t>
      </w:r>
      <w:r w:rsidR="006307DA" w:rsidRPr="00A30220">
        <w:rPr>
          <w:rFonts w:ascii="Times New Roman" w:eastAsia="Times New Roman" w:hAnsi="Times New Roman" w:cs="Times New Roman"/>
          <w:sz w:val="24"/>
          <w:szCs w:val="24"/>
        </w:rPr>
        <w:t>planos específicos de leitura e escrita</w:t>
      </w:r>
      <w:r w:rsidR="006307DA">
        <w:rPr>
          <w:rFonts w:ascii="Times New Roman" w:hAnsi="Times New Roman" w:cs="Times New Roman"/>
          <w:sz w:val="24"/>
          <w:szCs w:val="24"/>
        </w:rPr>
        <w:t xml:space="preserve"> destes países</w:t>
      </w:r>
      <w:r w:rsidR="003263FE">
        <w:rPr>
          <w:rFonts w:ascii="Times New Roman" w:hAnsi="Times New Roman" w:cs="Times New Roman"/>
          <w:sz w:val="24"/>
          <w:szCs w:val="24"/>
        </w:rPr>
        <w:t xml:space="preserve"> e podem ser </w:t>
      </w:r>
      <w:r w:rsidR="006549D8">
        <w:rPr>
          <w:rFonts w:ascii="Times New Roman" w:hAnsi="Times New Roman" w:cs="Times New Roman"/>
          <w:sz w:val="24"/>
          <w:szCs w:val="24"/>
        </w:rPr>
        <w:t>compreendid</w:t>
      </w:r>
      <w:r w:rsidR="006307DA">
        <w:rPr>
          <w:rFonts w:ascii="Times New Roman" w:hAnsi="Times New Roman" w:cs="Times New Roman"/>
          <w:sz w:val="24"/>
          <w:szCs w:val="24"/>
        </w:rPr>
        <w:t>a</w:t>
      </w:r>
      <w:r w:rsidR="006549D8">
        <w:rPr>
          <w:rFonts w:ascii="Times New Roman" w:hAnsi="Times New Roman" w:cs="Times New Roman"/>
          <w:sz w:val="24"/>
          <w:szCs w:val="24"/>
        </w:rPr>
        <w:t xml:space="preserve">s em função dos </w:t>
      </w:r>
      <w:r w:rsidR="006549D8">
        <w:rPr>
          <w:rFonts w:ascii="Times New Roman" w:hAnsi="Times New Roman" w:cs="Times New Roman"/>
          <w:sz w:val="24"/>
          <w:szCs w:val="24"/>
        </w:rPr>
        <w:lastRenderedPageBreak/>
        <w:t>altos índices de analfabetismo</w:t>
      </w:r>
      <w:r w:rsidR="006307DA">
        <w:rPr>
          <w:rFonts w:ascii="Times New Roman" w:hAnsi="Times New Roman" w:cs="Times New Roman"/>
          <w:sz w:val="24"/>
          <w:szCs w:val="24"/>
        </w:rPr>
        <w:t xml:space="preserve"> existentes, mas </w:t>
      </w:r>
      <w:r w:rsidR="003263FE">
        <w:rPr>
          <w:rFonts w:ascii="Times New Roman" w:hAnsi="Times New Roman" w:cs="Times New Roman"/>
          <w:sz w:val="24"/>
          <w:szCs w:val="24"/>
        </w:rPr>
        <w:t>também pelas</w:t>
      </w:r>
      <w:r w:rsidR="006549D8">
        <w:rPr>
          <w:rFonts w:ascii="Times New Roman" w:hAnsi="Times New Roman" w:cs="Times New Roman"/>
          <w:sz w:val="24"/>
          <w:szCs w:val="24"/>
        </w:rPr>
        <w:t xml:space="preserve"> pressões que as avaliações externas, como o PISA promovem. </w:t>
      </w:r>
    </w:p>
    <w:p w14:paraId="676D9C66" w14:textId="77777777" w:rsidR="001819C6" w:rsidRDefault="001819C6" w:rsidP="001819C6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27BA8D" w14:textId="07EC9B8A" w:rsidR="0041757C" w:rsidRPr="001819C6" w:rsidRDefault="00026200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202C79CF" w14:textId="77777777" w:rsidR="0041757C" w:rsidRDefault="00026200" w:rsidP="001819C6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VIEIRA, Evaldo Amaro. Políticas sociais e direitos sociais no Brasil. Comunicação &amp; Educação, n. 9, p. 13- 17, 1997.</w:t>
      </w:r>
    </w:p>
    <w:p w14:paraId="56EFEA43" w14:textId="77777777" w:rsidR="0041757C" w:rsidRPr="00316EAC" w:rsidRDefault="0041757C" w:rsidP="001819C6">
      <w:pPr>
        <w:pStyle w:val="Standard"/>
        <w:spacing w:after="0" w:line="240" w:lineRule="auto"/>
        <w:jc w:val="both"/>
        <w:rPr>
          <w:lang w:val="es-419"/>
        </w:rPr>
      </w:pPr>
    </w:p>
    <w:p w14:paraId="4CFAE9ED" w14:textId="4147DD5C" w:rsidR="0041757C" w:rsidRPr="00316EAC" w:rsidRDefault="006549D8" w:rsidP="001819C6">
      <w:pPr>
        <w:pStyle w:val="Standard"/>
        <w:spacing w:after="0" w:line="240" w:lineRule="auto"/>
        <w:jc w:val="both"/>
        <w:rPr>
          <w:rFonts w:ascii="Verdana" w:hAnsi="Verdana"/>
          <w:color w:val="000000"/>
          <w:sz w:val="24"/>
          <w:lang w:val="es-419"/>
        </w:rPr>
      </w:pPr>
      <w:r w:rsidRPr="00316EAC">
        <w:rPr>
          <w:rFonts w:ascii="Times New Roman" w:hAnsi="Times New Roman" w:cs="Times New Roman"/>
          <w:color w:val="000000"/>
          <w:sz w:val="24"/>
          <w:szCs w:val="24"/>
          <w:lang w:val="es-419"/>
        </w:rPr>
        <w:t>CORAGGIO, José Luis (1995), "Las propuestas del Banco Mundial para la educación: ¿sentido oculto o problemas de concepción?", simponsio apresentado no Seminario o Banco Mundial e as Politicas de Educaçao no Brasil, organizado por Açao Educativa, Sâo Paulo, jun. 28-30, 1995.</w:t>
      </w:r>
    </w:p>
    <w:p w14:paraId="5FB954A3" w14:textId="77777777" w:rsidR="0041757C" w:rsidRPr="006549D8" w:rsidRDefault="0041757C" w:rsidP="001819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63F0CCB3" w14:textId="77777777" w:rsidR="0041757C" w:rsidRPr="00595830" w:rsidRDefault="00026200" w:rsidP="001819C6">
      <w:pPr>
        <w:pStyle w:val="Standard"/>
        <w:spacing w:after="0" w:line="240" w:lineRule="auto"/>
        <w:jc w:val="both"/>
        <w:rPr>
          <w:lang w:val="en-US"/>
        </w:rPr>
      </w:pPr>
      <w:r w:rsidRPr="00316EAC">
        <w:rPr>
          <w:rFonts w:ascii="Times New Roman" w:hAnsi="Times New Roman" w:cs="Times New Roman"/>
          <w:sz w:val="24"/>
          <w:szCs w:val="24"/>
          <w:lang w:val="es-419"/>
        </w:rPr>
        <w:t>BANCO MUNDIAL Ending Learning Poverty : What</w:t>
      </w:r>
      <w:r w:rsidRPr="00316EAC">
        <w:rPr>
          <w:rFonts w:ascii="Times New Roman" w:hAnsi="Times New Roman" w:cs="Times New Roman"/>
          <w:sz w:val="24"/>
          <w:szCs w:val="24"/>
          <w:lang w:val="es-419"/>
        </w:rPr>
        <w:t xml:space="preserve"> Will It Take? </w:t>
      </w:r>
      <w:r w:rsidRPr="002D4ADD">
        <w:rPr>
          <w:rFonts w:ascii="Times New Roman" w:hAnsi="Times New Roman" w:cs="Times New Roman"/>
          <w:sz w:val="24"/>
          <w:szCs w:val="24"/>
          <w:lang w:val="en-US"/>
        </w:rPr>
        <w:t xml:space="preserve">World Bank, Washington, DC,2019. </w:t>
      </w:r>
      <w:proofErr w:type="spellStart"/>
      <w:r w:rsidRPr="002D4ADD">
        <w:rPr>
          <w:rFonts w:ascii="Times New Roman" w:hAnsi="Times New Roman" w:cs="Times New Roman"/>
          <w:sz w:val="24"/>
          <w:szCs w:val="24"/>
          <w:lang w:val="en-US"/>
        </w:rPr>
        <w:t>Disponível</w:t>
      </w:r>
      <w:proofErr w:type="spellEnd"/>
      <w:r w:rsidRPr="002D4A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4ADD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2D4ADD">
        <w:rPr>
          <w:rFonts w:ascii="Times New Roman" w:hAnsi="Times New Roman" w:cs="Times New Roman"/>
          <w:sz w:val="24"/>
          <w:szCs w:val="24"/>
          <w:lang w:val="en-US"/>
        </w:rPr>
        <w:t xml:space="preserve"> https://openknowledge.worldbank.org/handle/10986/32553. </w:t>
      </w:r>
      <w:proofErr w:type="spellStart"/>
      <w:r w:rsidRPr="00595830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5958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5830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95830">
        <w:rPr>
          <w:rFonts w:ascii="Times New Roman" w:hAnsi="Times New Roman" w:cs="Times New Roman"/>
          <w:sz w:val="24"/>
          <w:szCs w:val="24"/>
          <w:lang w:val="en-US"/>
        </w:rPr>
        <w:t>: Maio de 2022.</w:t>
      </w:r>
    </w:p>
    <w:p w14:paraId="27E9E6EA" w14:textId="77777777" w:rsidR="0041757C" w:rsidRPr="00595830" w:rsidRDefault="0041757C" w:rsidP="001819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9D0756" w14:textId="05CCD288" w:rsidR="0041757C" w:rsidRDefault="00026200" w:rsidP="001819C6">
      <w:pPr>
        <w:pStyle w:val="Standard"/>
        <w:spacing w:after="0" w:line="240" w:lineRule="auto"/>
        <w:jc w:val="both"/>
      </w:pPr>
      <w:r w:rsidRPr="00595830">
        <w:rPr>
          <w:rFonts w:ascii="Times New Roman" w:hAnsi="Times New Roman" w:cs="Times New Roman"/>
          <w:sz w:val="24"/>
          <w:szCs w:val="24"/>
          <w:lang w:val="en-US"/>
        </w:rPr>
        <w:t xml:space="preserve">OECD. 21st-Century Readers: Developing Literacy Skills in a Digital World, PISA, OECD Publishing, Paris,2021. </w:t>
      </w:r>
      <w:r>
        <w:rPr>
          <w:rFonts w:ascii="Times New Roman" w:hAnsi="Times New Roman" w:cs="Times New Roman"/>
          <w:sz w:val="24"/>
          <w:szCs w:val="24"/>
        </w:rPr>
        <w:t>Disponível em: https://doi.org/10.1787/a83d84cb-en. Acesso em: maio de 2022.</w:t>
      </w:r>
    </w:p>
    <w:sectPr w:rsidR="0041757C">
      <w:footerReference w:type="default" r:id="rId10"/>
      <w:pgSz w:w="11906" w:h="16838"/>
      <w:pgMar w:top="1701" w:right="1701" w:bottom="1701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FE30" w14:textId="77777777" w:rsidR="00026200" w:rsidRDefault="00026200">
      <w:r>
        <w:separator/>
      </w:r>
    </w:p>
  </w:endnote>
  <w:endnote w:type="continuationSeparator" w:id="0">
    <w:p w14:paraId="4442FD6C" w14:textId="77777777" w:rsidR="00026200" w:rsidRDefault="000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62A6" w14:textId="77777777" w:rsidR="00E4282E" w:rsidRDefault="00026200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353077F6" w14:textId="77777777" w:rsidR="00E4282E" w:rsidRDefault="000262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9772" w14:textId="77777777" w:rsidR="00026200" w:rsidRDefault="00026200">
      <w:r>
        <w:rPr>
          <w:color w:val="000000"/>
        </w:rPr>
        <w:separator/>
      </w:r>
    </w:p>
  </w:footnote>
  <w:footnote w:type="continuationSeparator" w:id="0">
    <w:p w14:paraId="6C4C8269" w14:textId="77777777" w:rsidR="00026200" w:rsidRDefault="00026200">
      <w:r>
        <w:continuationSeparator/>
      </w:r>
    </w:p>
  </w:footnote>
  <w:footnote w:id="1">
    <w:p w14:paraId="00307E3F" w14:textId="3994D048" w:rsidR="00E914E4" w:rsidRPr="00E914E4" w:rsidRDefault="00E914E4" w:rsidP="00E914E4">
      <w:pPr>
        <w:pStyle w:val="Textodenotaderodap"/>
        <w:jc w:val="both"/>
        <w:rPr>
          <w:rFonts w:ascii="Times New Roman" w:hAnsi="Times New Roman" w:cs="Times New Roman"/>
        </w:rPr>
      </w:pPr>
      <w:r w:rsidRPr="00E914E4">
        <w:rPr>
          <w:rStyle w:val="Refdenotaderodap"/>
          <w:rFonts w:ascii="Times New Roman" w:hAnsi="Times New Roman" w:cs="Times New Roman"/>
        </w:rPr>
        <w:footnoteRef/>
      </w:r>
      <w:r w:rsidRPr="00E914E4">
        <w:rPr>
          <w:rFonts w:ascii="Times New Roman" w:hAnsi="Times New Roman" w:cs="Times New Roman"/>
        </w:rPr>
        <w:t xml:space="preserve"> Dados disponíveis em: http://data.uis.unesco.org/#  Acessado em: 26 de jun. 2022.</w:t>
      </w:r>
    </w:p>
  </w:footnote>
  <w:footnote w:id="2">
    <w:p w14:paraId="649CCBE8" w14:textId="77777777" w:rsidR="0041757C" w:rsidRPr="00E914E4" w:rsidRDefault="00026200" w:rsidP="00E914E4">
      <w:pPr>
        <w:pStyle w:val="Footnote"/>
        <w:jc w:val="both"/>
      </w:pPr>
      <w:r w:rsidRPr="00E914E4">
        <w:rPr>
          <w:rStyle w:val="Refdenotaderodap"/>
        </w:rPr>
        <w:footnoteRef/>
      </w:r>
      <w:r w:rsidRPr="00E914E4">
        <w:t xml:space="preserve"> </w:t>
      </w:r>
      <w:r w:rsidRPr="00E914E4">
        <w:rPr>
          <w:color w:val="000000"/>
        </w:rPr>
        <w:t>Entende-se por analfabeto total as pessoas de 15 anos ou mais que, pelos critérios do Instituto Brasileiro de Geografia e Estatística (IBGE), não são capazes de ler e escrever nem ao menos um bilhete simples. Entende-se por analfabeto funcional o indivíduo</w:t>
      </w:r>
      <w:r w:rsidRPr="00E914E4">
        <w:rPr>
          <w:color w:val="000000"/>
        </w:rPr>
        <w:t xml:space="preserve"> que pode ser capaz de identificar e ler números, letras, palavras e até frases, mas não consegue reunir essas informações e assimilá-las, resultando em problemas de interpretação e podem ser de vários níveis conforme análises do Instituto Paulo Montenegro</w:t>
      </w:r>
      <w:r w:rsidRPr="00E914E4">
        <w:rPr>
          <w:color w:val="000000"/>
        </w:rPr>
        <w:t xml:space="preserve"> no Brasil.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A5697"/>
    <w:multiLevelType w:val="multilevel"/>
    <w:tmpl w:val="73DC375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69C05AD"/>
    <w:multiLevelType w:val="multilevel"/>
    <w:tmpl w:val="F07439D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993431A"/>
    <w:multiLevelType w:val="multilevel"/>
    <w:tmpl w:val="1D48C5A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7C"/>
    <w:rsid w:val="00026200"/>
    <w:rsid w:val="00120A2B"/>
    <w:rsid w:val="001819C6"/>
    <w:rsid w:val="002733C3"/>
    <w:rsid w:val="002D4ADD"/>
    <w:rsid w:val="00316EAC"/>
    <w:rsid w:val="003263FE"/>
    <w:rsid w:val="003655B8"/>
    <w:rsid w:val="0041757C"/>
    <w:rsid w:val="004D3CC0"/>
    <w:rsid w:val="00595830"/>
    <w:rsid w:val="005E607F"/>
    <w:rsid w:val="006307DA"/>
    <w:rsid w:val="006549D8"/>
    <w:rsid w:val="0071551B"/>
    <w:rsid w:val="00887555"/>
    <w:rsid w:val="008D1EF7"/>
    <w:rsid w:val="009724E1"/>
    <w:rsid w:val="009B0BCC"/>
    <w:rsid w:val="00A3471E"/>
    <w:rsid w:val="00A8383A"/>
    <w:rsid w:val="00AF35AB"/>
    <w:rsid w:val="00B41022"/>
    <w:rsid w:val="00BC6B07"/>
    <w:rsid w:val="00D259C1"/>
    <w:rsid w:val="00E63CB4"/>
    <w:rsid w:val="00E914E4"/>
    <w:rsid w:val="00F3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11DF"/>
  <w15:docId w15:val="{4F07ABBA-9A52-40D3-BC94-255389DE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20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FootnoteSymbol">
    <w:name w:val="Footnote Symbol"/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E914E4"/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E914E4"/>
    <w:rPr>
      <w:sz w:val="20"/>
      <w:szCs w:val="20"/>
    </w:rPr>
  </w:style>
  <w:style w:type="paragraph" w:styleId="Reviso">
    <w:name w:val="Revision"/>
    <w:hidden/>
    <w:uiPriority w:val="99"/>
    <w:semiHidden/>
    <w:rsid w:val="00A3471E"/>
    <w:pPr>
      <w:widowControl/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s_pedagogia@yahoo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nigaray2009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1909-4F65-4F20-877B-7F42821D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1403</Words>
  <Characters>8195</Characters>
  <Application>Microsoft Office Word</Application>
  <DocSecurity>0</DocSecurity>
  <Lines>143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Silva</dc:creator>
  <cp:lastModifiedBy>Wisllayne Ivellyze De Oliveira Dri</cp:lastModifiedBy>
  <cp:revision>2</cp:revision>
  <dcterms:created xsi:type="dcterms:W3CDTF">2022-09-21T04:44:00Z</dcterms:created>
  <dcterms:modified xsi:type="dcterms:W3CDTF">2022-09-21T04:44:00Z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